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1892935" cy="307975"/>
            <wp:effectExtent l="0" t="0" r="12065" b="15875"/>
            <wp:docPr id="5" name="图片 1" descr="说明: id:21474995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说明: id:2147499530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427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1" name="图片 13" descr="说明: id:21474997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3" descr="说明: id:2147499704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97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 w:eastAsia="方正仿宋_GBK"/>
        </w:rPr>
        <w:t>课堂教学中要让同学们充分展示他们的优点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提供更多的机会让他们主动参与学习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特别是教学组织形式上要灵活机动些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引导学生课堂上积极思考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大胆发言。</w:t>
      </w:r>
    </w:p>
    <w:p>
      <w:pPr>
        <w:spacing w:line="397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 w:eastAsia="方正仿宋_GBK"/>
        </w:rPr>
        <w:t>教学形式是为教学内容服务的。本课没有追求活动表面的热闹和形式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而是更加注重学生的接受能力及对知识的掌握程度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学生对这样的形式更乐于接受。</w:t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0442B1"/>
    <w:rsid w:val="4404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2018-08-15T09:09:00Z</dcterms:created>
  <dc:creator>123</dc:creator>
  <cp:lastModifiedBy>123</cp:lastModifiedBy>
  <dcterms:modified xsi:type="dcterms:W3CDTF">2018-08-15T09:10:17Z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